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pacing w:val="15"/>
          <w:sz w:val="32"/>
          <w:szCs w:val="32"/>
        </w:rPr>
      </w:pPr>
      <w:bookmarkStart w:id="0" w:name="_Toc278"/>
      <w:r>
        <w:rPr>
          <w:rFonts w:hint="eastAsia" w:ascii="宋体" w:hAnsi="宋体" w:eastAsia="宋体" w:cs="宋体"/>
          <w:b/>
          <w:bCs w:val="0"/>
          <w:spacing w:val="15"/>
          <w:sz w:val="32"/>
          <w:szCs w:val="32"/>
        </w:rPr>
        <w:t>贵州大学第十</w:t>
      </w:r>
      <w:r>
        <w:rPr>
          <w:rFonts w:hint="eastAsia" w:ascii="宋体" w:hAnsi="宋体" w:cs="宋体"/>
          <w:b/>
          <w:bCs w:val="0"/>
          <w:spacing w:val="15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pacing w:val="15"/>
          <w:sz w:val="32"/>
          <w:szCs w:val="32"/>
        </w:rPr>
        <w:t>届“体育节”</w:t>
      </w:r>
      <w:bookmarkEnd w:id="0"/>
      <w:bookmarkStart w:id="1" w:name="_Toc31308"/>
      <w:r>
        <w:rPr>
          <w:rFonts w:hint="eastAsia" w:ascii="宋体" w:hAnsi="宋体" w:eastAsia="宋体" w:cs="宋体"/>
          <w:b/>
          <w:bCs w:val="0"/>
          <w:spacing w:val="15"/>
          <w:sz w:val="32"/>
          <w:szCs w:val="32"/>
        </w:rPr>
        <w:t>竞赛总规程</w:t>
      </w:r>
      <w:bookmarkEnd w:id="1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主办单位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贵州大学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承办单位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贵州大学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体育学院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竞赛日期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四、竞赛项目及比赛地点</w:t>
      </w:r>
    </w:p>
    <w:tbl>
      <w:tblPr>
        <w:tblStyle w:val="4"/>
        <w:tblpPr w:leftFromText="180" w:rightFromText="180" w:vertAnchor="text" w:horzAnchor="page" w:tblpX="1535" w:tblpY="186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预赛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决赛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田径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11月14-16日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北校区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足球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10月12日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篮球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9月29日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10月27-28日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10月27-28日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11月14-15日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11月14-15日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北校区网球中心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跆拳道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11月14-16日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健美操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11月10-11日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围棋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11月14-16日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定向越野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西校区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以学院为单位组队参赛，田径比赛分甲、乙两组，甲组为普通大学生组，乙组为体育专业组。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（一）田径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1、比赛使用最新中国田径协会审定的《田径竞赛规则》。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（二）足球、篮球、排球、乒乓球、羽毛球、网球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跆拳道、健美操、围棋、定向越野。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1、经过第一阶段预赛决出前八名的队（人）参加总决赛。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2、采用交叉淘汰赛，决出1—8名。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3、均使用各单项最新竞赛规则。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六、录取名次和计分方法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（一）各项目均录取前八名，颁发获奖证书；各项目报名人数在8人（队）或以下则递减2名录取。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（二）按各单位运动员得分总和排列团体名次，取团体总分前八名；如遇积分相等，以破记录多者名次列前；如再相等，以第一名多者名次列前，以此类推。乙组团体总分名次录取第一名。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（三）分值的计算：单项按9、7、6、5、4、3、2、1计分，集体项目按单项所得分值乘2计算。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（四）破记录者加9分，在同一比赛中连续多次打破同一记录者，按最高计分进行加分。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（五）参加十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届全国学生运动会取得名次的运动员成绩计入学院团体总分，取得第一名计20分，二至三名16分，四至八名10分。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（六）设体育道德风尚奖6名。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七、运动员资格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运动员必须是具有学籍的在校大学生和研究生及外国留学生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自考生、进修生、短训生均不得参加。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以教务系统通知为准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九、裁判员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由体育学院教师及学生担任。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十、其它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各单位标志牌及田径运动员比赛号码布，由体育学院统一制作。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比赛中，如有违反体育道德行为（打架、骂人、不听从裁判指挥等），将由组委会和仲裁委员会裁定，取消团体总分及“体育道德风尚奖”的评选，并全校通报批评。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凡参赛运动员须带学生证、身份证等有效证件检录参赛，否则取消比赛资格。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凡弄虚作假、冒名顶替参加比赛者，一经发现，取消其比赛资格，扣除该单位团体总分20分，同时取消评选“体育道德风尚奖”资格并全校通报批评（获奖者退回证书）。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“体育节”期间运动员跨校区比赛交通费，各学院自行解决。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罗赣 13007867958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、本规程解释权属组委会，未尽事宜另行通知。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  <w:bookmarkStart w:id="2" w:name="_Toc2842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bidi="ar"/>
        </w:rPr>
      </w:pP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C32AD"/>
    <w:multiLevelType w:val="singleLevel"/>
    <w:tmpl w:val="86AC32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7EFEB"/>
    <w:multiLevelType w:val="singleLevel"/>
    <w:tmpl w:val="5A07EFE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676D"/>
    <w:rsid w:val="083C70EC"/>
    <w:rsid w:val="11747BC0"/>
    <w:rsid w:val="1203178C"/>
    <w:rsid w:val="18E1417F"/>
    <w:rsid w:val="30F974BE"/>
    <w:rsid w:val="42277FF1"/>
    <w:rsid w:val="4CF85149"/>
    <w:rsid w:val="5EB04204"/>
    <w:rsid w:val="7580676D"/>
    <w:rsid w:val="75FA354A"/>
    <w:rsid w:val="7A8667FD"/>
    <w:rsid w:val="7C054850"/>
    <w:rsid w:val="7DB5204B"/>
    <w:rsid w:val="7FF56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2018-09-19T04:15:00Z</dcterms:created>
  <dc:creator>huzuo</dc:creator>
  <cp:lastModifiedBy>远航</cp:lastModifiedBy>
  <dcterms:modified xsi:type="dcterms:W3CDTF">2018-09-20T07:55:25Z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